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Сведения о доходах, расходах,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за период с 1 января 2019 г. по 31 декабря 2019 г.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5497" w:type="dxa"/>
        <w:jc w:val="left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4"/>
        <w:gridCol w:w="2551"/>
        <w:gridCol w:w="2213"/>
        <w:gridCol w:w="1750"/>
        <w:gridCol w:w="1937"/>
        <w:gridCol w:w="1413"/>
        <w:gridCol w:w="1700"/>
        <w:gridCol w:w="1537"/>
        <w:gridCol w:w="992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N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Михайлова Н.Н.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Зам. директора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научной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Долевая  (½)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2 905 000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1501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Михайлов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Долевая  (½)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втомобиль легковой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 CAMRY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340 000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Дачный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LibreOffice/6.1.2.1$Windows_x86 LibreOffice_project/65905a128db06ba48db947242809d14d3f9a93fe</Application>
  <Pages>2</Pages>
  <Words>103</Words>
  <Characters>605</Characters>
  <CharactersWithSpaces>665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2020-07-02T13:37:00Z</dcterms:created>
  <dc:creator>Михайлюк Наталия Владимировна</dc:creator>
  <dc:description/>
  <dc:language>ru-RU</dc:language>
  <cp:lastModifiedBy/>
  <dcterms:modified xsi:type="dcterms:W3CDTF">2020-07-30T12:48:17Z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